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4266" w:rsidRDefault="00D04266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pPr w:leftFromText="141" w:rightFromText="141" w:vertAnchor="text" w:tblpY="1"/>
        <w:tblOverlap w:val="never"/>
        <w:tblW w:w="508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1"/>
        <w:gridCol w:w="2556"/>
      </w:tblGrid>
      <w:tr w:rsidR="00D04266" w:rsidTr="007A19E7">
        <w:tc>
          <w:tcPr>
            <w:tcW w:w="5087" w:type="dxa"/>
            <w:gridSpan w:val="2"/>
          </w:tcPr>
          <w:p w:rsidR="00D04266" w:rsidRDefault="00EA20C0" w:rsidP="007A19E7">
            <w:pPr>
              <w:tabs>
                <w:tab w:val="center" w:pos="4153"/>
                <w:tab w:val="right" w:pos="8306"/>
              </w:tabs>
              <w:rPr>
                <w:rFonts w:ascii="Dyslexie" w:eastAsia="Dyslexie" w:hAnsi="Dyslexie" w:cs="Dyslexie"/>
                <w:b/>
                <w:color w:val="808080"/>
                <w:sz w:val="22"/>
                <w:szCs w:val="22"/>
              </w:rPr>
            </w:pPr>
            <w:r>
              <w:rPr>
                <w:rFonts w:ascii="Dyslexie" w:eastAsia="Dyslexie" w:hAnsi="Dyslexie" w:cs="Dyslexie"/>
                <w:b/>
                <w:color w:val="808080"/>
                <w:sz w:val="22"/>
                <w:szCs w:val="22"/>
              </w:rPr>
              <w:t>Motionssvar - Badtunna</w:t>
            </w:r>
            <w:bookmarkStart w:id="0" w:name="_GoBack"/>
            <w:bookmarkEnd w:id="0"/>
          </w:p>
          <w:p w:rsidR="00D04266" w:rsidRDefault="00837778" w:rsidP="007A19E7">
            <w:pPr>
              <w:tabs>
                <w:tab w:val="center" w:pos="4153"/>
                <w:tab w:val="right" w:pos="8306"/>
              </w:tabs>
              <w:rPr>
                <w:rFonts w:ascii="Dyslexie" w:eastAsia="Dyslexie" w:hAnsi="Dyslexie" w:cs="Dyslexie"/>
                <w:color w:val="808080"/>
                <w:sz w:val="22"/>
                <w:szCs w:val="22"/>
              </w:rPr>
            </w:pPr>
            <w:r>
              <w:rPr>
                <w:rFonts w:ascii="Dyslexie" w:eastAsia="Dyslexie" w:hAnsi="Dyslexie" w:cs="Dyslexie"/>
                <w:color w:val="808080"/>
                <w:sz w:val="22"/>
                <w:szCs w:val="22"/>
              </w:rPr>
              <w:t>Sektionsstyrelsen</w:t>
            </w:r>
          </w:p>
          <w:p w:rsidR="00837778" w:rsidRDefault="00837778" w:rsidP="007A19E7">
            <w:pPr>
              <w:tabs>
                <w:tab w:val="center" w:pos="4153"/>
                <w:tab w:val="right" w:pos="8306"/>
              </w:tabs>
              <w:rPr>
                <w:rFonts w:ascii="Dyslexie" w:eastAsia="Dyslexie" w:hAnsi="Dyslexie" w:cs="Dyslexie"/>
                <w:color w:val="808080"/>
                <w:sz w:val="22"/>
                <w:szCs w:val="22"/>
              </w:rPr>
            </w:pPr>
          </w:p>
        </w:tc>
      </w:tr>
      <w:tr w:rsidR="00D04266" w:rsidTr="007A19E7">
        <w:tc>
          <w:tcPr>
            <w:tcW w:w="2531" w:type="dxa"/>
          </w:tcPr>
          <w:p w:rsidR="00D04266" w:rsidRDefault="00837778" w:rsidP="007A19E7">
            <w:pPr>
              <w:tabs>
                <w:tab w:val="center" w:pos="3367"/>
              </w:tabs>
              <w:rPr>
                <w:rFonts w:ascii="Dyslexie" w:eastAsia="Dyslexie" w:hAnsi="Dyslexie" w:cs="Dyslexie"/>
                <w:i/>
                <w:color w:val="808080"/>
                <w:sz w:val="22"/>
                <w:szCs w:val="22"/>
              </w:rPr>
            </w:pPr>
            <w:r>
              <w:rPr>
                <w:rFonts w:ascii="Dyslexie" w:eastAsia="Dyslexie" w:hAnsi="Dyslexie" w:cs="Dyslexie"/>
                <w:i/>
                <w:color w:val="808080"/>
                <w:sz w:val="22"/>
                <w:szCs w:val="22"/>
              </w:rPr>
              <w:t xml:space="preserve">Ingenjörssektionen Bygg </w:t>
            </w:r>
            <w:proofErr w:type="spellStart"/>
            <w:r>
              <w:rPr>
                <w:rFonts w:ascii="Dyslexie" w:eastAsia="Dyslexie" w:hAnsi="Dyslexie" w:cs="Dyslexie"/>
                <w:i/>
                <w:color w:val="808080"/>
                <w:sz w:val="22"/>
                <w:szCs w:val="22"/>
              </w:rPr>
              <w:t>IsB</w:t>
            </w:r>
            <w:proofErr w:type="spellEnd"/>
          </w:p>
        </w:tc>
        <w:tc>
          <w:tcPr>
            <w:tcW w:w="2556" w:type="dxa"/>
          </w:tcPr>
          <w:p w:rsidR="00D04266" w:rsidRDefault="00D04266" w:rsidP="007A19E7">
            <w:pPr>
              <w:tabs>
                <w:tab w:val="center" w:pos="4153"/>
                <w:tab w:val="right" w:pos="8306"/>
              </w:tabs>
              <w:rPr>
                <w:rFonts w:ascii="Dyslexie" w:eastAsia="Dyslexie" w:hAnsi="Dyslexie" w:cs="Dyslexie"/>
                <w:color w:val="808080"/>
                <w:sz w:val="22"/>
                <w:szCs w:val="22"/>
              </w:rPr>
            </w:pPr>
          </w:p>
        </w:tc>
      </w:tr>
      <w:tr w:rsidR="00D04266" w:rsidTr="007A19E7">
        <w:trPr>
          <w:trHeight w:val="80"/>
        </w:trPr>
        <w:tc>
          <w:tcPr>
            <w:tcW w:w="2531" w:type="dxa"/>
          </w:tcPr>
          <w:p w:rsidR="00D04266" w:rsidRDefault="00D04266" w:rsidP="007A19E7">
            <w:pPr>
              <w:tabs>
                <w:tab w:val="center" w:pos="4153"/>
                <w:tab w:val="right" w:pos="8306"/>
              </w:tabs>
              <w:rPr>
                <w:rFonts w:ascii="Dyslexie" w:eastAsia="Dyslexie" w:hAnsi="Dyslexie" w:cs="Dyslexie"/>
                <w:i/>
                <w:color w:val="808080"/>
                <w:sz w:val="22"/>
                <w:szCs w:val="22"/>
              </w:rPr>
            </w:pPr>
          </w:p>
        </w:tc>
        <w:tc>
          <w:tcPr>
            <w:tcW w:w="2556" w:type="dxa"/>
          </w:tcPr>
          <w:p w:rsidR="00D04266" w:rsidRDefault="00D04266" w:rsidP="007A19E7">
            <w:pPr>
              <w:tabs>
                <w:tab w:val="center" w:pos="4153"/>
                <w:tab w:val="right" w:pos="8306"/>
              </w:tabs>
              <w:rPr>
                <w:rFonts w:ascii="Dyslexie" w:eastAsia="Dyslexie" w:hAnsi="Dyslexie" w:cs="Dyslexie"/>
                <w:color w:val="808080"/>
                <w:sz w:val="22"/>
                <w:szCs w:val="22"/>
              </w:rPr>
            </w:pPr>
          </w:p>
        </w:tc>
      </w:tr>
      <w:tr w:rsidR="00D04266" w:rsidTr="007A19E7">
        <w:trPr>
          <w:trHeight w:val="180"/>
        </w:trPr>
        <w:tc>
          <w:tcPr>
            <w:tcW w:w="5087" w:type="dxa"/>
            <w:gridSpan w:val="2"/>
          </w:tcPr>
          <w:p w:rsidR="00D04266" w:rsidRDefault="004251AC" w:rsidP="007A19E7">
            <w:pPr>
              <w:tabs>
                <w:tab w:val="center" w:pos="4153"/>
                <w:tab w:val="right" w:pos="8306"/>
              </w:tabs>
              <w:rPr>
                <w:rFonts w:ascii="Dyslexie" w:eastAsia="Dyslexie" w:hAnsi="Dyslexie" w:cs="Dyslexie"/>
                <w:color w:val="808080"/>
                <w:sz w:val="22"/>
                <w:szCs w:val="22"/>
              </w:rPr>
            </w:pPr>
            <w:r>
              <w:rPr>
                <w:rFonts w:ascii="Dyslexie" w:eastAsia="Dyslexie" w:hAnsi="Dyslexie" w:cs="Dyslexie"/>
                <w:color w:val="808080"/>
                <w:sz w:val="22"/>
                <w:szCs w:val="22"/>
              </w:rPr>
              <w:t xml:space="preserve">Stockholm, den </w:t>
            </w:r>
            <w:r w:rsidR="00837778">
              <w:rPr>
                <w:rFonts w:ascii="Dyslexie" w:eastAsia="Dyslexie" w:hAnsi="Dyslexie" w:cs="Dyslexie"/>
                <w:color w:val="808080"/>
                <w:sz w:val="22"/>
                <w:szCs w:val="22"/>
              </w:rPr>
              <w:t>22 Mars 2018</w:t>
            </w:r>
          </w:p>
        </w:tc>
      </w:tr>
    </w:tbl>
    <w:p w:rsidR="00D04266" w:rsidRPr="00837778" w:rsidRDefault="007A19E7">
      <w:pPr>
        <w:spacing w:after="240"/>
        <w:ind w:left="426"/>
        <w:rPr>
          <w:rFonts w:ascii="Dyslexie" w:eastAsia="Dyslexie" w:hAnsi="Dyslexie" w:cs="Dyslexie"/>
          <w:b/>
          <w:sz w:val="40"/>
          <w:szCs w:val="40"/>
        </w:rPr>
      </w:pPr>
      <w:r>
        <w:rPr>
          <w:rFonts w:ascii="Dyslexie" w:eastAsia="Dyslexie" w:hAnsi="Dyslexie" w:cs="Dyslexie"/>
          <w:b/>
          <w:sz w:val="40"/>
          <w:szCs w:val="40"/>
        </w:rPr>
        <w:br w:type="textWrapping" w:clear="all"/>
      </w:r>
      <w:r w:rsidR="00837778" w:rsidRPr="00837778">
        <w:rPr>
          <w:rFonts w:ascii="Dyslexie" w:eastAsia="Dyslexie" w:hAnsi="Dyslexie" w:cs="Dyslexie"/>
          <w:b/>
          <w:sz w:val="40"/>
          <w:szCs w:val="40"/>
        </w:rPr>
        <w:t>Motionssvar</w:t>
      </w:r>
    </w:p>
    <w:p w:rsidR="00837778" w:rsidRPr="00837778" w:rsidRDefault="00837778">
      <w:pPr>
        <w:spacing w:after="240"/>
        <w:ind w:left="426"/>
        <w:rPr>
          <w:rFonts w:ascii="Dyslexie" w:eastAsia="Dyslexie" w:hAnsi="Dyslexie" w:cs="Dyslexie"/>
          <w:b/>
          <w:sz w:val="44"/>
          <w:szCs w:val="44"/>
          <w:u w:val="single"/>
        </w:rPr>
      </w:pPr>
      <w:r w:rsidRPr="00837778">
        <w:rPr>
          <w:rFonts w:ascii="Dyslexie" w:eastAsia="Dyslexie" w:hAnsi="Dyslexie" w:cs="Dyslexie"/>
          <w:b/>
          <w:sz w:val="40"/>
          <w:szCs w:val="40"/>
        </w:rPr>
        <w:t xml:space="preserve">Badtunna till </w:t>
      </w:r>
      <w:proofErr w:type="spellStart"/>
      <w:r w:rsidRPr="00837778">
        <w:rPr>
          <w:rFonts w:ascii="Dyslexie" w:eastAsia="Dyslexie" w:hAnsi="Dyslexie" w:cs="Dyslexie"/>
          <w:b/>
          <w:sz w:val="40"/>
          <w:szCs w:val="40"/>
        </w:rPr>
        <w:t>Osqvik</w:t>
      </w:r>
      <w:proofErr w:type="spellEnd"/>
    </w:p>
    <w:p w:rsidR="00837778" w:rsidRDefault="00837778">
      <w:pPr>
        <w:ind w:left="426"/>
        <w:rPr>
          <w:rFonts w:ascii="Dyslexie" w:eastAsia="Dyslexie" w:hAnsi="Dyslexie" w:cs="Dyslexie"/>
          <w:b/>
          <w:sz w:val="36"/>
          <w:szCs w:val="36"/>
        </w:rPr>
      </w:pPr>
      <w:bookmarkStart w:id="1" w:name="_gjdgxs" w:colFirst="0" w:colLast="0"/>
      <w:bookmarkEnd w:id="1"/>
      <w:r w:rsidRPr="00837778">
        <w:rPr>
          <w:rFonts w:ascii="Dyslexie" w:eastAsia="Dyslexie" w:hAnsi="Dyslexie" w:cs="Dyslexie"/>
          <w:b/>
          <w:sz w:val="36"/>
          <w:szCs w:val="36"/>
        </w:rPr>
        <w:t>Resonemang</w:t>
      </w:r>
    </w:p>
    <w:p w:rsidR="001A35AF" w:rsidRDefault="001A35AF">
      <w:pPr>
        <w:ind w:left="426"/>
        <w:rPr>
          <w:rFonts w:ascii="Dyslexie" w:eastAsia="Dyslexie" w:hAnsi="Dyslexie" w:cs="Dyslexie"/>
        </w:rPr>
      </w:pPr>
      <w:r>
        <w:rPr>
          <w:rFonts w:ascii="Dyslexie" w:eastAsia="Dyslexie" w:hAnsi="Dyslexie" w:cs="Dyslexie"/>
        </w:rPr>
        <w:t xml:space="preserve">Styrelsen ser inga problem med att undersöka möjligheterna att hyra en badtunna till eventet ute på </w:t>
      </w:r>
      <w:proofErr w:type="spellStart"/>
      <w:r>
        <w:rPr>
          <w:rFonts w:ascii="Dyslexie" w:eastAsia="Dyslexie" w:hAnsi="Dyslexie" w:cs="Dyslexie"/>
        </w:rPr>
        <w:t>osqvik</w:t>
      </w:r>
      <w:proofErr w:type="spellEnd"/>
      <w:r>
        <w:rPr>
          <w:rFonts w:ascii="Dyslexie" w:eastAsia="Dyslexie" w:hAnsi="Dyslexie" w:cs="Dyslexie"/>
        </w:rPr>
        <w:t>.</w:t>
      </w:r>
    </w:p>
    <w:p w:rsidR="001A35AF" w:rsidRDefault="001A35AF">
      <w:pPr>
        <w:ind w:left="426"/>
        <w:rPr>
          <w:rFonts w:ascii="Dyslexie" w:eastAsia="Dyslexie" w:hAnsi="Dyslexie" w:cs="Dyslexie"/>
        </w:rPr>
      </w:pPr>
      <w:r>
        <w:rPr>
          <w:rFonts w:ascii="Dyslexie" w:eastAsia="Dyslexie" w:hAnsi="Dyslexie" w:cs="Dyslexie"/>
        </w:rPr>
        <w:t xml:space="preserve">Däremot så anser inte styrelsen att det är rimligt att </w:t>
      </w:r>
      <w:proofErr w:type="spellStart"/>
      <w:r>
        <w:rPr>
          <w:rFonts w:ascii="Dyslexie" w:eastAsia="Dyslexie" w:hAnsi="Dyslexie" w:cs="Dyslexie"/>
        </w:rPr>
        <w:t>IsB</w:t>
      </w:r>
      <w:proofErr w:type="spellEnd"/>
      <w:r>
        <w:rPr>
          <w:rFonts w:ascii="Dyslexie" w:eastAsia="Dyslexie" w:hAnsi="Dyslexie" w:cs="Dyslexie"/>
        </w:rPr>
        <w:t xml:space="preserve"> ska sponsra THS med en badtunna då det kommer kosta mer än det smakar. </w:t>
      </w:r>
      <w:proofErr w:type="spellStart"/>
      <w:r w:rsidR="0040119C">
        <w:rPr>
          <w:rFonts w:ascii="Dyslexie" w:eastAsia="Dyslexie" w:hAnsi="Dyslexie" w:cs="Dyslexie"/>
        </w:rPr>
        <w:t>IsB</w:t>
      </w:r>
      <w:proofErr w:type="spellEnd"/>
      <w:r w:rsidR="0040119C">
        <w:rPr>
          <w:rFonts w:ascii="Dyslexie" w:eastAsia="Dyslexie" w:hAnsi="Dyslexie" w:cs="Dyslexie"/>
        </w:rPr>
        <w:t xml:space="preserve"> har event ute på </w:t>
      </w:r>
      <w:proofErr w:type="spellStart"/>
      <w:r w:rsidR="0040119C">
        <w:rPr>
          <w:rFonts w:ascii="Dyslexie" w:eastAsia="Dyslexie" w:hAnsi="Dyslexie" w:cs="Dyslexie"/>
        </w:rPr>
        <w:t>osqvik</w:t>
      </w:r>
      <w:proofErr w:type="spellEnd"/>
      <w:r w:rsidR="0040119C">
        <w:rPr>
          <w:rFonts w:ascii="Dyslexie" w:eastAsia="Dyslexie" w:hAnsi="Dyslexie" w:cs="Dyslexie"/>
        </w:rPr>
        <w:t xml:space="preserve"> ungefär 2 gånger per år, vilket då ger våra medlemmar 2 chanser per år att nyttja badtunnan. Denna badtunna kommer alltså mest nyttjas av folk som inte är medlemmar i </w:t>
      </w:r>
      <w:proofErr w:type="spellStart"/>
      <w:r w:rsidR="0040119C">
        <w:rPr>
          <w:rFonts w:ascii="Dyslexie" w:eastAsia="Dyslexie" w:hAnsi="Dyslexie" w:cs="Dyslexie"/>
        </w:rPr>
        <w:t>IsB</w:t>
      </w:r>
      <w:proofErr w:type="spellEnd"/>
      <w:r w:rsidR="0040119C">
        <w:rPr>
          <w:rFonts w:ascii="Dyslexie" w:eastAsia="Dyslexie" w:hAnsi="Dyslexie" w:cs="Dyslexie"/>
        </w:rPr>
        <w:t xml:space="preserve"> och därför tycker inte vi att våra medlemmars pengar ska gå till övriga sektioner på KTH.</w:t>
      </w:r>
    </w:p>
    <w:p w:rsidR="001A35AF" w:rsidRDefault="001A35AF">
      <w:pPr>
        <w:ind w:left="426"/>
        <w:rPr>
          <w:rFonts w:ascii="Dyslexie" w:eastAsia="Dyslexie" w:hAnsi="Dyslexie" w:cs="Dyslexie"/>
        </w:rPr>
      </w:pPr>
    </w:p>
    <w:p w:rsidR="001A35AF" w:rsidRDefault="001A35AF">
      <w:pPr>
        <w:ind w:left="426"/>
        <w:rPr>
          <w:rFonts w:ascii="Dyslexie" w:eastAsia="Dyslexie" w:hAnsi="Dyslexie" w:cs="Dyslexie"/>
        </w:rPr>
      </w:pPr>
    </w:p>
    <w:p w:rsidR="001A35AF" w:rsidRDefault="0040119C">
      <w:pPr>
        <w:ind w:left="426"/>
        <w:rPr>
          <w:rFonts w:ascii="Dyslexie" w:eastAsia="Dyslexie" w:hAnsi="Dyslexie" w:cs="Dyslexie"/>
          <w:sz w:val="36"/>
          <w:szCs w:val="36"/>
        </w:rPr>
      </w:pPr>
      <w:r>
        <w:rPr>
          <w:rFonts w:ascii="Dyslexie" w:eastAsia="Dyslexie" w:hAnsi="Dyslexie" w:cs="Dyslexie"/>
          <w:sz w:val="36"/>
          <w:szCs w:val="36"/>
        </w:rPr>
        <w:t>Yrkande</w:t>
      </w:r>
    </w:p>
    <w:p w:rsidR="0040119C" w:rsidRDefault="0040119C">
      <w:pPr>
        <w:ind w:left="426"/>
        <w:rPr>
          <w:rFonts w:ascii="Dyslexie" w:eastAsia="Dyslexie" w:hAnsi="Dyslexie" w:cs="Dyslexie"/>
        </w:rPr>
      </w:pPr>
      <w:r>
        <w:rPr>
          <w:rFonts w:ascii="Dyslexie" w:eastAsia="Dyslexie" w:hAnsi="Dyslexie" w:cs="Dyslexie"/>
        </w:rPr>
        <w:t>Sektionsstyrelsen yrkar</w:t>
      </w:r>
    </w:p>
    <w:p w:rsidR="0040119C" w:rsidRDefault="0040119C">
      <w:pPr>
        <w:ind w:left="426"/>
        <w:rPr>
          <w:rFonts w:ascii="Dyslexie" w:eastAsia="Dyslexie" w:hAnsi="Dyslexie" w:cs="Dyslexie"/>
        </w:rPr>
      </w:pPr>
      <w:r>
        <w:rPr>
          <w:rFonts w:ascii="Dyslexie" w:eastAsia="Dyslexie" w:hAnsi="Dyslexie" w:cs="Dyslexie"/>
        </w:rPr>
        <w:t>…att</w:t>
      </w:r>
      <w:r>
        <w:rPr>
          <w:rFonts w:ascii="Dyslexie" w:eastAsia="Dyslexie" w:hAnsi="Dyslexie" w:cs="Dyslexie"/>
          <w:vertAlign w:val="subscript"/>
        </w:rPr>
        <w:t xml:space="preserve">1 </w:t>
      </w:r>
      <w:r>
        <w:rPr>
          <w:rFonts w:ascii="Dyslexie" w:eastAsia="Dyslexie" w:hAnsi="Dyslexie" w:cs="Dyslexie"/>
        </w:rPr>
        <w:t>Stå bakom förslag 1 i motionen</w:t>
      </w:r>
      <w:r w:rsidR="009A4CA7">
        <w:rPr>
          <w:rFonts w:ascii="Dyslexie" w:eastAsia="Dyslexie" w:hAnsi="Dyslexie" w:cs="Dyslexie"/>
        </w:rPr>
        <w:t xml:space="preserve">, undersöka möjligheten för att hyra en badtunna upp till 10 000kr </w:t>
      </w:r>
    </w:p>
    <w:p w:rsidR="0040119C" w:rsidRDefault="0040119C">
      <w:pPr>
        <w:ind w:left="426"/>
        <w:rPr>
          <w:rFonts w:ascii="Dyslexie" w:eastAsia="Dyslexie" w:hAnsi="Dyslexie" w:cs="Dyslexie"/>
        </w:rPr>
      </w:pPr>
      <w:r>
        <w:rPr>
          <w:rFonts w:ascii="Dyslexie" w:eastAsia="Dyslexie" w:hAnsi="Dyslexie" w:cs="Dyslexie"/>
        </w:rPr>
        <w:t>…att</w:t>
      </w:r>
      <w:r>
        <w:rPr>
          <w:rFonts w:ascii="Dyslexie" w:eastAsia="Dyslexie" w:hAnsi="Dyslexie" w:cs="Dyslexie"/>
          <w:vertAlign w:val="subscript"/>
        </w:rPr>
        <w:t xml:space="preserve">2 </w:t>
      </w:r>
      <w:r w:rsidR="009A4CA7">
        <w:rPr>
          <w:rFonts w:ascii="Dyslexie" w:eastAsia="Dyslexie" w:hAnsi="Dyslexie" w:cs="Dyslexie"/>
        </w:rPr>
        <w:t>Inte stå bakom förslag 2 i motionen, undersöka möjligheten att sponsra en badtunna till THS</w:t>
      </w:r>
    </w:p>
    <w:p w:rsidR="009A4CA7" w:rsidRPr="009A4CA7" w:rsidRDefault="009A4CA7">
      <w:pPr>
        <w:ind w:left="426"/>
        <w:rPr>
          <w:rFonts w:ascii="Dyslexie" w:eastAsia="Dyslexie" w:hAnsi="Dyslexie" w:cs="Dyslexie"/>
        </w:rPr>
      </w:pPr>
      <w:r>
        <w:rPr>
          <w:rFonts w:ascii="Dyslexie" w:eastAsia="Dyslexie" w:hAnsi="Dyslexie" w:cs="Dyslexie"/>
        </w:rPr>
        <w:t>…att</w:t>
      </w:r>
      <w:r>
        <w:rPr>
          <w:rFonts w:ascii="Dyslexie" w:eastAsia="Dyslexie" w:hAnsi="Dyslexie" w:cs="Dyslexie"/>
          <w:vertAlign w:val="subscript"/>
        </w:rPr>
        <w:t xml:space="preserve">3 </w:t>
      </w:r>
      <w:r>
        <w:rPr>
          <w:rFonts w:ascii="Dyslexie" w:eastAsia="Dyslexie" w:hAnsi="Dyslexie" w:cs="Dyslexie"/>
        </w:rPr>
        <w:t>Inte stå bakom förslag 3 i motionen</w:t>
      </w:r>
    </w:p>
    <w:p w:rsidR="00D04266" w:rsidRDefault="00D04266">
      <w:pPr>
        <w:spacing w:after="240"/>
        <w:ind w:left="426" w:hanging="558"/>
        <w:rPr>
          <w:rFonts w:ascii="Dyslexie" w:eastAsia="Dyslexie" w:hAnsi="Dyslexie" w:cs="Dyslexie"/>
          <w:sz w:val="20"/>
          <w:szCs w:val="20"/>
        </w:rPr>
      </w:pPr>
    </w:p>
    <w:p w:rsidR="002968D9" w:rsidRDefault="002968D9">
      <w:pPr>
        <w:spacing w:after="240"/>
        <w:ind w:left="426" w:hanging="558"/>
      </w:pPr>
      <w:r>
        <w:t xml:space="preserve">För sektionsstyrelsen, </w:t>
      </w:r>
    </w:p>
    <w:p w:rsidR="002968D9" w:rsidRDefault="002968D9">
      <w:pPr>
        <w:spacing w:after="240"/>
        <w:ind w:left="426" w:hanging="558"/>
      </w:pPr>
      <w:r>
        <w:t xml:space="preserve">Tobias Bohman Ordförande </w:t>
      </w:r>
    </w:p>
    <w:p w:rsidR="002968D9" w:rsidRDefault="002968D9">
      <w:pPr>
        <w:spacing w:after="240"/>
        <w:ind w:left="426" w:hanging="558"/>
        <w:rPr>
          <w:rFonts w:ascii="Dyslexie" w:eastAsia="Dyslexie" w:hAnsi="Dyslexie" w:cs="Dyslexie"/>
          <w:sz w:val="20"/>
          <w:szCs w:val="20"/>
        </w:rPr>
      </w:pPr>
      <w:r>
        <w:t>Stockholm</w:t>
      </w:r>
    </w:p>
    <w:sectPr w:rsidR="002968D9">
      <w:headerReference w:type="default" r:id="rId7"/>
      <w:footerReference w:type="even" r:id="rId8"/>
      <w:footerReference w:type="default" r:id="rId9"/>
      <w:pgSz w:w="11906" w:h="16838"/>
      <w:pgMar w:top="2736" w:right="1116" w:bottom="1134" w:left="1134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AC" w:rsidRDefault="004251AC">
      <w:r>
        <w:separator/>
      </w:r>
    </w:p>
  </w:endnote>
  <w:endnote w:type="continuationSeparator" w:id="0">
    <w:p w:rsidR="004251AC" w:rsidRDefault="0042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yslexie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66" w:rsidRDefault="004251AC">
    <w:pPr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end"/>
    </w:r>
  </w:p>
  <w:p w:rsidR="00D04266" w:rsidRDefault="00D04266">
    <w:pPr>
      <w:tabs>
        <w:tab w:val="center" w:pos="4153"/>
        <w:tab w:val="right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66" w:rsidRDefault="004251AC">
    <w:pPr>
      <w:tabs>
        <w:tab w:val="center" w:pos="4153"/>
        <w:tab w:val="right" w:pos="8306"/>
      </w:tabs>
      <w:ind w:left="-142" w:right="-160"/>
      <w:jc w:val="center"/>
      <w:rPr>
        <w:rFonts w:ascii="Dyslexie" w:eastAsia="Dyslexie" w:hAnsi="Dyslexie" w:cs="Dyslexie"/>
        <w:i/>
        <w:color w:val="C00000"/>
        <w:sz w:val="16"/>
        <w:szCs w:val="16"/>
      </w:rPr>
    </w:pPr>
    <w:r>
      <w:rPr>
        <w:rFonts w:ascii="Arial" w:eastAsia="Arial" w:hAnsi="Arial" w:cs="Arial"/>
        <w:i/>
        <w:color w:val="550F16"/>
        <w:sz w:val="22"/>
        <w:szCs w:val="22"/>
      </w:rPr>
      <w:tab/>
    </w:r>
    <w:r>
      <w:rPr>
        <w:rFonts w:ascii="Dyslexie" w:eastAsia="Dyslexie" w:hAnsi="Dyslexie" w:cs="Dyslexie"/>
        <w:i/>
        <w:color w:val="C00000"/>
        <w:sz w:val="16"/>
        <w:szCs w:val="16"/>
      </w:rPr>
      <w:t xml:space="preserve">Ingenjörssektionen Bygg, Teknikringen 78A, 11428 Stockholm, isb-styrelsen@ths.kth.se </w:t>
    </w:r>
    <w:hyperlink r:id="rId1">
      <w:r>
        <w:rPr>
          <w:rFonts w:ascii="Dyslexie" w:eastAsia="Dyslexie" w:hAnsi="Dyslexie" w:cs="Dyslexie"/>
          <w:i/>
          <w:color w:val="C00000"/>
          <w:sz w:val="16"/>
          <w:szCs w:val="16"/>
          <w:u w:val="single"/>
        </w:rPr>
        <w:t>isbygg.ne</w:t>
      </w:r>
    </w:hyperlink>
    <w:r>
      <w:rPr>
        <w:rFonts w:ascii="Dyslexie" w:eastAsia="Dyslexie" w:hAnsi="Dyslexie" w:cs="Dyslexie"/>
        <w:i/>
        <w:color w:val="C00000"/>
        <w:sz w:val="16"/>
        <w:szCs w:val="16"/>
        <w:u w:val="single"/>
      </w:rPr>
      <w:t>t</w:t>
    </w:r>
    <w:r>
      <w:rPr>
        <w:rFonts w:ascii="Dyslexie" w:eastAsia="Dyslexie" w:hAnsi="Dyslexie" w:cs="Dyslexie"/>
        <w:i/>
        <w:color w:val="C00000"/>
        <w:sz w:val="16"/>
        <w:szCs w:val="16"/>
      </w:rPr>
      <w:t xml:space="preserve">  </w:t>
    </w:r>
  </w:p>
  <w:p w:rsidR="00D04266" w:rsidRDefault="00D04266">
    <w:pPr>
      <w:tabs>
        <w:tab w:val="center" w:pos="4153"/>
        <w:tab w:val="right" w:pos="8306"/>
      </w:tabs>
      <w:jc w:val="center"/>
      <w:rPr>
        <w:rFonts w:ascii="Dyslexie" w:eastAsia="Dyslexie" w:hAnsi="Dyslexie" w:cs="Dyslexie"/>
        <w:i/>
        <w:color w:val="C00000"/>
        <w:sz w:val="16"/>
        <w:szCs w:val="16"/>
      </w:rPr>
    </w:pPr>
  </w:p>
  <w:p w:rsidR="00D04266" w:rsidRDefault="009A4CA7">
    <w:pPr>
      <w:tabs>
        <w:tab w:val="center" w:pos="4153"/>
        <w:tab w:val="right" w:pos="8306"/>
      </w:tabs>
      <w:jc w:val="center"/>
      <w:rPr>
        <w:rFonts w:ascii="Dyslexie" w:eastAsia="Dyslexie" w:hAnsi="Dyslexie" w:cs="Dyslexie"/>
        <w:color w:val="C00000"/>
        <w:sz w:val="20"/>
        <w:szCs w:val="20"/>
      </w:rPr>
    </w:pPr>
    <w:r>
      <w:rPr>
        <w:rFonts w:ascii="Dyslexie" w:eastAsia="Dyslexie" w:hAnsi="Dyslexie" w:cs="Dyslexie"/>
        <w:color w:val="C00000"/>
        <w:sz w:val="20"/>
        <w:szCs w:val="20"/>
      </w:rPr>
      <w:t>2018-03-22</w:t>
    </w:r>
    <w:r w:rsidR="004251AC">
      <w:rPr>
        <w:rFonts w:ascii="Dyslexie" w:eastAsia="Dyslexie" w:hAnsi="Dyslexie" w:cs="Dyslexie"/>
        <w:color w:val="C00000"/>
        <w:sz w:val="20"/>
        <w:szCs w:val="20"/>
      </w:rPr>
      <w:tab/>
    </w:r>
    <w:r w:rsidR="004251AC">
      <w:rPr>
        <w:rFonts w:ascii="Dyslexie" w:eastAsia="Dyslexie" w:hAnsi="Dyslexie" w:cs="Dyslexie"/>
        <w:color w:val="C00000"/>
        <w:sz w:val="20"/>
        <w:szCs w:val="20"/>
      </w:rPr>
      <w:fldChar w:fldCharType="begin"/>
    </w:r>
    <w:r w:rsidR="004251AC">
      <w:rPr>
        <w:rFonts w:ascii="Dyslexie" w:eastAsia="Dyslexie" w:hAnsi="Dyslexie" w:cs="Dyslexie"/>
        <w:color w:val="C00000"/>
        <w:sz w:val="20"/>
        <w:szCs w:val="20"/>
      </w:rPr>
      <w:instrText>PAGE</w:instrText>
    </w:r>
    <w:r w:rsidR="004251AC">
      <w:rPr>
        <w:rFonts w:ascii="Dyslexie" w:eastAsia="Dyslexie" w:hAnsi="Dyslexie" w:cs="Dyslexie"/>
        <w:color w:val="C00000"/>
        <w:sz w:val="20"/>
        <w:szCs w:val="20"/>
      </w:rPr>
      <w:fldChar w:fldCharType="separate"/>
    </w:r>
    <w:r w:rsidR="00EA20C0">
      <w:rPr>
        <w:rFonts w:ascii="Dyslexie" w:eastAsia="Dyslexie" w:hAnsi="Dyslexie" w:cs="Dyslexie"/>
        <w:noProof/>
        <w:color w:val="C00000"/>
        <w:sz w:val="20"/>
        <w:szCs w:val="20"/>
      </w:rPr>
      <w:t>1</w:t>
    </w:r>
    <w:r w:rsidR="004251AC">
      <w:rPr>
        <w:rFonts w:ascii="Dyslexie" w:eastAsia="Dyslexie" w:hAnsi="Dyslexie" w:cs="Dyslexie"/>
        <w:color w:val="C00000"/>
        <w:sz w:val="20"/>
        <w:szCs w:val="20"/>
      </w:rPr>
      <w:fldChar w:fldCharType="end"/>
    </w:r>
    <w:r w:rsidR="004251AC">
      <w:rPr>
        <w:rFonts w:ascii="Dyslexie" w:eastAsia="Dyslexie" w:hAnsi="Dyslexie" w:cs="Dyslexie"/>
        <w:color w:val="C00000"/>
        <w:sz w:val="20"/>
        <w:szCs w:val="20"/>
      </w:rPr>
      <w:t>(</w:t>
    </w:r>
    <w:r w:rsidR="004251AC">
      <w:rPr>
        <w:rFonts w:ascii="Dyslexie" w:eastAsia="Dyslexie" w:hAnsi="Dyslexie" w:cs="Dyslexie"/>
        <w:color w:val="C00000"/>
        <w:sz w:val="20"/>
        <w:szCs w:val="20"/>
      </w:rPr>
      <w:fldChar w:fldCharType="begin"/>
    </w:r>
    <w:r w:rsidR="004251AC">
      <w:rPr>
        <w:rFonts w:ascii="Dyslexie" w:eastAsia="Dyslexie" w:hAnsi="Dyslexie" w:cs="Dyslexie"/>
        <w:color w:val="C00000"/>
        <w:sz w:val="20"/>
        <w:szCs w:val="20"/>
      </w:rPr>
      <w:instrText>NUMPAGES</w:instrText>
    </w:r>
    <w:r w:rsidR="004251AC">
      <w:rPr>
        <w:rFonts w:ascii="Dyslexie" w:eastAsia="Dyslexie" w:hAnsi="Dyslexie" w:cs="Dyslexie"/>
        <w:color w:val="C00000"/>
        <w:sz w:val="20"/>
        <w:szCs w:val="20"/>
      </w:rPr>
      <w:fldChar w:fldCharType="separate"/>
    </w:r>
    <w:r w:rsidR="00EA20C0">
      <w:rPr>
        <w:rFonts w:ascii="Dyslexie" w:eastAsia="Dyslexie" w:hAnsi="Dyslexie" w:cs="Dyslexie"/>
        <w:noProof/>
        <w:color w:val="C00000"/>
        <w:sz w:val="20"/>
        <w:szCs w:val="20"/>
      </w:rPr>
      <w:t>1</w:t>
    </w:r>
    <w:r w:rsidR="004251AC">
      <w:rPr>
        <w:rFonts w:ascii="Dyslexie" w:eastAsia="Dyslexie" w:hAnsi="Dyslexie" w:cs="Dyslexie"/>
        <w:color w:val="C00000"/>
        <w:sz w:val="20"/>
        <w:szCs w:val="20"/>
      </w:rPr>
      <w:fldChar w:fldCharType="end"/>
    </w:r>
    <w:r w:rsidR="004251AC">
      <w:rPr>
        <w:rFonts w:ascii="Dyslexie" w:eastAsia="Dyslexie" w:hAnsi="Dyslexie" w:cs="Dyslexie"/>
        <w:color w:val="C00000"/>
        <w:sz w:val="20"/>
        <w:szCs w:val="20"/>
      </w:rPr>
      <w:t xml:space="preserve">) </w:t>
    </w:r>
  </w:p>
  <w:p w:rsidR="00D04266" w:rsidRDefault="004251AC">
    <w:pPr>
      <w:tabs>
        <w:tab w:val="center" w:pos="4153"/>
        <w:tab w:val="right" w:pos="8306"/>
      </w:tabs>
      <w:jc w:val="center"/>
      <w:rPr>
        <w:color w:val="C00000"/>
      </w:rPr>
    </w:pPr>
    <w:r>
      <w:rPr>
        <w:color w:val="C00000"/>
      </w:rPr>
      <w:tab/>
    </w:r>
  </w:p>
  <w:p w:rsidR="00D04266" w:rsidRDefault="00D04266">
    <w:pPr>
      <w:tabs>
        <w:tab w:val="center" w:pos="4153"/>
        <w:tab w:val="right" w:pos="8306"/>
      </w:tabs>
      <w:jc w:val="center"/>
      <w:rPr>
        <w:color w:val="C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AC" w:rsidRDefault="004251AC">
      <w:r>
        <w:separator/>
      </w:r>
    </w:p>
  </w:footnote>
  <w:footnote w:type="continuationSeparator" w:id="0">
    <w:p w:rsidR="004251AC" w:rsidRDefault="0042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66" w:rsidRDefault="004251AC">
    <w:pPr>
      <w:tabs>
        <w:tab w:val="center" w:pos="4819"/>
        <w:tab w:val="right" w:pos="9638"/>
      </w:tabs>
      <w:spacing w:before="709"/>
    </w:pPr>
    <w:r>
      <w:rPr>
        <w:rFonts w:ascii="Helvetica Neue" w:eastAsia="Helvetica Neue" w:hAnsi="Helvetica Neue" w:cs="Helvetica Neue"/>
      </w:rPr>
      <w:tab/>
    </w:r>
    <w:r>
      <w:rPr>
        <w:rFonts w:ascii="Helvetica Neue" w:eastAsia="Helvetica Neue" w:hAnsi="Helvetica Neue" w:cs="Helvetica Neue"/>
      </w:rPr>
      <w:tab/>
    </w:r>
    <w:r>
      <w:rPr>
        <w:noProof/>
        <w:lang w:eastAsia="sv-SE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4812665</wp:posOffset>
          </wp:positionH>
          <wp:positionV relativeFrom="paragraph">
            <wp:posOffset>205308</wp:posOffset>
          </wp:positionV>
          <wp:extent cx="1447800" cy="144780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4266"/>
    <w:rsid w:val="001A35AF"/>
    <w:rsid w:val="002968D9"/>
    <w:rsid w:val="0040119C"/>
    <w:rsid w:val="004251AC"/>
    <w:rsid w:val="007A19E7"/>
    <w:rsid w:val="00837778"/>
    <w:rsid w:val="00875F04"/>
    <w:rsid w:val="009A4CA7"/>
    <w:rsid w:val="00D04266"/>
    <w:rsid w:val="00EA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spacing w:before="240" w:after="60"/>
      <w:outlineLvl w:val="1"/>
    </w:pPr>
    <w:rPr>
      <w:rFonts w:ascii="Century Gothic" w:eastAsia="Century Gothic" w:hAnsi="Century Gothic" w:cs="Century Gothic"/>
      <w:sz w:val="28"/>
      <w:szCs w:val="28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Garamond" w:eastAsia="Garamond" w:hAnsi="Garamond" w:cs="Garamond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9A4CA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4CA7"/>
  </w:style>
  <w:style w:type="paragraph" w:styleId="Sidfot">
    <w:name w:val="footer"/>
    <w:basedOn w:val="Normal"/>
    <w:link w:val="SidfotChar"/>
    <w:uiPriority w:val="99"/>
    <w:unhideWhenUsed/>
    <w:rsid w:val="009A4CA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4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spacing w:before="240" w:after="60"/>
      <w:outlineLvl w:val="1"/>
    </w:pPr>
    <w:rPr>
      <w:rFonts w:ascii="Century Gothic" w:eastAsia="Century Gothic" w:hAnsi="Century Gothic" w:cs="Century Gothic"/>
      <w:sz w:val="28"/>
      <w:szCs w:val="28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Garamond" w:eastAsia="Garamond" w:hAnsi="Garamond" w:cs="Garamond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9A4CA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4CA7"/>
  </w:style>
  <w:style w:type="paragraph" w:styleId="Sidfot">
    <w:name w:val="footer"/>
    <w:basedOn w:val="Normal"/>
    <w:link w:val="SidfotChar"/>
    <w:uiPriority w:val="99"/>
    <w:unhideWhenUsed/>
    <w:rsid w:val="009A4CA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4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shaning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16A5BC94</Template>
  <TotalTime>0</TotalTime>
  <Pages>1</Pages>
  <Words>161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Kungliga Tekniska Högskolan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Bohman</dc:creator>
  <cp:lastModifiedBy>Tobias Bohman</cp:lastModifiedBy>
  <cp:revision>2</cp:revision>
  <dcterms:created xsi:type="dcterms:W3CDTF">2018-03-23T11:54:00Z</dcterms:created>
  <dcterms:modified xsi:type="dcterms:W3CDTF">2018-03-23T11:54:00Z</dcterms:modified>
</cp:coreProperties>
</file>